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5BE" w:rsidRDefault="00B30EEB">
      <w:pPr>
        <w:rPr>
          <w:rStyle w:val="Lienhypertexte"/>
        </w:rPr>
      </w:pPr>
      <w:r>
        <w:t>Pendant longtemps, la petite buvette du club de foot ouverte à l'occasion d'un match dominicale n'a pas posé de problème. C'était simple. Les membres du club achetaient quelques bières chez le grossiste du coin et avec l'aide souvent désintéressée d'un agriculteur local, une aimable piquette permettait aux joueurs et spectateurs d'échanger sur le match achevé. C'était du sport. C'était aussi du lien social et en ces temps hélas révolu, la télévision n'était pas l'œil bleu des fenêtres devenues silencieuses d'un trop grand nombre de nos villages d'aujourd'hui. On n'avait tout simplement pas vraiment le temps de la regarder.</w:t>
      </w:r>
      <w:r>
        <w:br/>
      </w:r>
      <w:r>
        <w:br/>
        <w:t>Mais c'est du passé et le côté tatillon de l'administration n'est pas étranger à ce revirement, à cet abandon du temps commun. Avec le règne de la télévision est arrivée celui des autorisations administratives...</w:t>
      </w:r>
      <w:r>
        <w:br/>
      </w:r>
      <w:r>
        <w:br/>
        <w:t xml:space="preserve">Aujourd'hui, tenir une petite buvette demande tellement de "paperasseries" que son abandon est hélas logique. Mais pour ceux qui souhaitent maintenir le plaisir d'être ensemble autour d'une bière servie dans un gobelet plastique lors d'une manifestation associative, suivez le guide. </w:t>
      </w:r>
      <w:r>
        <w:br/>
      </w:r>
      <w:r>
        <w:br/>
      </w:r>
      <w:r>
        <w:rPr>
          <w:rStyle w:val="tpnews"/>
        </w:rPr>
        <w:t>Voici avec précision les règles applicables à l'ouverture d'un débit de boisson que l'association soit sportive ou non.</w:t>
      </w:r>
      <w:r>
        <w:t xml:space="preserve"> </w:t>
      </w:r>
      <w:r>
        <w:br/>
      </w:r>
      <w:r>
        <w:br/>
      </w:r>
      <w:r>
        <w:rPr>
          <w:rStyle w:val="lev"/>
        </w:rPr>
        <w:t>C'est l'article L. 3334-2 du code de la santé régit les ouvertures</w:t>
      </w:r>
      <w:r>
        <w:t xml:space="preserve"> d'un débit de boisson par les associations. Une autorisation administrative préalable est nécessaire et un nombre maximum d'autorisations est attribué à chaque association. </w:t>
      </w:r>
      <w:r>
        <w:br/>
      </w:r>
      <w:r>
        <w:br/>
      </w:r>
      <w:r>
        <w:rPr>
          <w:rStyle w:val="lev"/>
        </w:rPr>
        <w:t>Selon l'article L. 3332-3 du code de la santé publique, la déclaration préalable</w:t>
      </w:r>
      <w:r>
        <w:t xml:space="preserve"> est une formalité qui s'impose à tout exploitant ouvrant un débit de boissons à consommer sur place. Elle doit être effectuée, quinze jours au moins avant le début de l'exploitation, à la mairie du lieu d'exploitation ou, si celui-ci est à Paris, auprès de la préfecture de police. L'exploitant se voit immédiatement délivrer un récépissé. </w:t>
      </w:r>
      <w:r>
        <w:br/>
      </w:r>
      <w:r>
        <w:br/>
      </w:r>
      <w:r>
        <w:rPr>
          <w:rStyle w:val="tpnews"/>
        </w:rPr>
        <w:t>Dans les trois jours suivant la déclaration, le représentant de l'Etat dans le département doit être informé par le maire, qui est tenu de lui en transmettre une copie intégrale ainsi qu'au procureur de la République.</w:t>
      </w:r>
      <w:r>
        <w:t xml:space="preserve"> </w:t>
      </w:r>
      <w:r>
        <w:br/>
      </w:r>
      <w:r>
        <w:br/>
      </w:r>
      <w:r>
        <w:rPr>
          <w:rStyle w:val="lev"/>
        </w:rPr>
        <w:t>Ces deux autorités peuvent alors se livrer à un contrôle a posteriori afin de vérifier que toutes les conditions exigées par le code de la santé publique sont remplies :</w:t>
      </w:r>
      <w:r>
        <w:br/>
        <w:t xml:space="preserve">- respect de la règle du quota d'un débit au plus pour 450 habitants, </w:t>
      </w:r>
      <w:r>
        <w:br/>
        <w:t xml:space="preserve">- respect de la condition de nationalité, </w:t>
      </w:r>
      <w:r>
        <w:br/>
        <w:t xml:space="preserve">- respect des zones de protection, </w:t>
      </w:r>
      <w:r>
        <w:br/>
        <w:t xml:space="preserve">- respect du suivi préalable de la formation obligatoire, </w:t>
      </w:r>
      <w:r>
        <w:br/>
        <w:t xml:space="preserve">etc... </w:t>
      </w:r>
      <w:r>
        <w:br/>
      </w:r>
      <w:r>
        <w:br/>
      </w:r>
      <w:r>
        <w:rPr>
          <w:rStyle w:val="lev"/>
        </w:rPr>
        <w:t>Les éléments à renseigner par le déclarant sont les suivants :</w:t>
      </w:r>
      <w:r>
        <w:t xml:space="preserve"> </w:t>
      </w:r>
      <w:r>
        <w:br/>
        <w:t xml:space="preserve">- nom, prénoms, lieu de naissance, profession et domicile ; </w:t>
      </w:r>
      <w:r>
        <w:br/>
        <w:t xml:space="preserve">- situation du débit ; </w:t>
      </w:r>
      <w:r>
        <w:br/>
        <w:t xml:space="preserve">- à quel titre il doit gérer le débit et les nom, prénoms, profession et domicile du propriétaire s'il y a lieu ; </w:t>
      </w:r>
      <w:r>
        <w:br/>
        <w:t xml:space="preserve">- la catégorie du débit qu'il se propose d'ouvrir ; </w:t>
      </w:r>
      <w:r>
        <w:br/>
        <w:t xml:space="preserve">- le permis d'exploitation attestant de sa participation à la formation ; </w:t>
      </w:r>
      <w:r>
        <w:br/>
        <w:t xml:space="preserve">- satisfaire à la condition de nationalité c'est-à-dire disposer de la nationalité française ou de la qualité de ressortissant d'un État de l'Union européenne ou de celle d'un État partie à l'accord sur l'Espace économique européen (Union européenne, Islande, Norvège et Lichtenstein). </w:t>
      </w:r>
      <w:r>
        <w:br/>
      </w:r>
      <w:r>
        <w:br/>
      </w:r>
      <w:r>
        <w:rPr>
          <w:rStyle w:val="lev"/>
        </w:rPr>
        <w:t>L'article L. 3334-1 du code de la santé publique prévoit que les débits temporaires</w:t>
      </w:r>
      <w:r>
        <w:t xml:space="preserve"> qui fonctionnent dans le cadre d'expositions ou de foires organisées par l'Etat, les collectivités publiques ou les associations reconnues d'utilité publique ne doivent fonctionner que durant la manifestation et être installés à l'intérieur de l'enceinte de l'exposition ou de la foire. </w:t>
      </w:r>
      <w:r>
        <w:br/>
      </w:r>
      <w:r>
        <w:br/>
      </w:r>
      <w:r>
        <w:rPr>
          <w:rStyle w:val="lev"/>
        </w:rPr>
        <w:t>Préalablement à l'ouverture, le débitant doit obtenir l'autorisation du responsable de la manifestation</w:t>
      </w:r>
      <w:r>
        <w:t xml:space="preserve"> (commissaire général de l'exposition, organisateur de la foire ou du salon) et faire une déclaration à la mairie (ou à la préfecture de police pour Paris). Autant de déclarations sont nécessaires que de points de vente de boissons installés. </w:t>
      </w:r>
      <w:r>
        <w:br/>
      </w:r>
      <w:r>
        <w:br/>
      </w:r>
      <w:r>
        <w:rPr>
          <w:rStyle w:val="lev"/>
        </w:rPr>
        <w:lastRenderedPageBreak/>
        <w:t>L'article L. 3334-2 du code de la santé publique prévoit que les buvettes</w:t>
      </w:r>
      <w:r>
        <w:t xml:space="preserve"> installées à l'occasion des manifestations exceptionnelles autres que celles mentionnées à l'article L. 3334-1 (fêtes publiques, bals publics, représentations théâtrales, ventes de charité, kermesses, etc.) doivent obtenir l'autorisation préalable du maire de la commune d'installation. </w:t>
      </w:r>
      <w:r>
        <w:br/>
      </w:r>
      <w:r>
        <w:br/>
      </w:r>
      <w:r>
        <w:rPr>
          <w:rStyle w:val="tpnews"/>
        </w:rPr>
        <w:t xml:space="preserve">Ces débits de boissons ne peuvent vendre que des boissons des deux premiers groupes tels que définis à l'article L. 3321-1 du code de la santé publique. </w:t>
      </w:r>
      <w:r>
        <w:br/>
      </w:r>
      <w:r>
        <w:br/>
      </w:r>
      <w:r>
        <w:rPr>
          <w:rStyle w:val="lev"/>
        </w:rPr>
        <w:t>Par dérogation, dans les seuls départements français d'Amérique</w:t>
      </w:r>
      <w:r>
        <w:t xml:space="preserve"> (Guadeloupe, Martinique, Guyane), le représentant de l'Etat peut autoriser par voie d'arrêté la vente de boissons du 4e groupe dont la consommation y est traditionnelle, dans la limite de quatre jours par an. </w:t>
      </w:r>
      <w:r>
        <w:br/>
      </w:r>
      <w:r>
        <w:br/>
        <w:t>Une association qui établit un tel débit de boissons pour la durée de la manifestation publique qu'elle organise ne peut obtenir plus de cinq autorisations par an. Cette limitation ne s'applique pas aux personnes physiques qui établissent un débit de boissons à l'occasion d'une foire, d'une vente ou d'une fête publique.</w:t>
      </w:r>
      <w:r>
        <w:br/>
      </w:r>
      <w:r>
        <w:br/>
      </w:r>
      <w:r>
        <w:rPr>
          <w:rStyle w:val="lev"/>
        </w:rPr>
        <w:t>En savoir plus</w:t>
      </w:r>
      <w:r>
        <w:br/>
        <w:t>(1) Réponse ministérielle publiée au JO (page 865) le 22/01/2013 par le ministère de l'intérieur.</w:t>
      </w:r>
      <w:r>
        <w:br/>
      </w:r>
      <w:r>
        <w:br/>
      </w:r>
      <w:hyperlink r:id="rId6" w:tgtFrame="_blank" w:history="1">
        <w:r>
          <w:rPr>
            <w:rStyle w:val="Lienhypertexte"/>
          </w:rPr>
          <w:t>Code de la santé publique - Article L3334-2</w:t>
        </w:r>
      </w:hyperlink>
      <w:r>
        <w:br/>
      </w:r>
      <w:r>
        <w:br/>
      </w:r>
      <w:hyperlink r:id="rId7" w:tgtFrame="_blank" w:history="1">
        <w:r>
          <w:rPr>
            <w:rStyle w:val="Lienhypertexte"/>
          </w:rPr>
          <w:t>Code de la santé publique - Article L. 3332-3</w:t>
        </w:r>
      </w:hyperlink>
      <w:r>
        <w:br/>
      </w:r>
      <w:r>
        <w:br/>
      </w:r>
      <w:hyperlink r:id="rId8" w:tgtFrame="_blank" w:history="1">
        <w:r>
          <w:rPr>
            <w:rStyle w:val="Lienhypertexte"/>
          </w:rPr>
          <w:t>Code de la santé publique - Article L. 3334-1</w:t>
        </w:r>
      </w:hyperlink>
      <w:r>
        <w:br/>
      </w:r>
      <w:r>
        <w:br/>
      </w:r>
      <w:hyperlink r:id="rId9" w:tgtFrame="_blank" w:history="1">
        <w:r>
          <w:rPr>
            <w:rStyle w:val="Lienhypertexte"/>
          </w:rPr>
          <w:t>Code de la santé publique - Article L. 3321-1</w:t>
        </w:r>
      </w:hyperlink>
    </w:p>
    <w:p w:rsidR="007C4F81" w:rsidRDefault="007C4F81">
      <w:pPr>
        <w:rPr>
          <w:rStyle w:val="Lienhypertexte"/>
        </w:rPr>
      </w:pP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En principe, l'ouverture d'une buvette est soumise à autorisation s'il s'agit d'une fête publique, et pas s'il s'agit d'une fête privée. Est privée une fête réservée aux stricts adhérents de l'association loi 1901 ou avec invitations nominatives. Est publique une fête ouverte à tous ou faisant l'objet d'une promotion ou d'une publicité. </w:t>
      </w:r>
    </w:p>
    <w:p w:rsidR="007C4F81" w:rsidRPr="007C4F81" w:rsidRDefault="007C4F81" w:rsidP="007C4F81">
      <w:pPr>
        <w:spacing w:after="240"/>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1"/>
        <w:rPr>
          <w:rFonts w:ascii="Times New Roman" w:eastAsia="Times New Roman" w:hAnsi="Times New Roman" w:cs="Times New Roman"/>
          <w:b/>
          <w:bCs/>
          <w:sz w:val="36"/>
          <w:szCs w:val="36"/>
        </w:rPr>
      </w:pPr>
      <w:r w:rsidRPr="007C4F81">
        <w:rPr>
          <w:rFonts w:ascii="Times New Roman" w:eastAsia="Times New Roman" w:hAnsi="Times New Roman" w:cs="Times New Roman"/>
          <w:b/>
          <w:bCs/>
          <w:sz w:val="36"/>
          <w:szCs w:val="36"/>
        </w:rPr>
        <w:t>Dans quels cas l'association loi 1901 doit-elle obtenir une autorisation ?</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Une demande d'autorisation n'est pas toujours obligatoire. En effet, l'ouverture d'une buvette réservée aux membres de l'association loi 1901 échappe à la réglementation lorsqu'elle remplit les critères suivants : </w:t>
      </w:r>
    </w:p>
    <w:p w:rsidR="007C4F81" w:rsidRPr="007C4F81" w:rsidRDefault="007C4F81" w:rsidP="007C4F81">
      <w:pPr>
        <w:numPr>
          <w:ilvl w:val="0"/>
          <w:numId w:val="1"/>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la vente de boissons n'a pas un caractère commercial et lucratif ;</w:t>
      </w:r>
    </w:p>
    <w:p w:rsidR="007C4F81" w:rsidRPr="007C4F81" w:rsidRDefault="007C4F81" w:rsidP="007C4F81">
      <w:pPr>
        <w:numPr>
          <w:ilvl w:val="0"/>
          <w:numId w:val="1"/>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les boissons vendues sont celles appartenant uniquement aux deux premiers groupes ;</w:t>
      </w:r>
    </w:p>
    <w:p w:rsidR="007C4F81" w:rsidRPr="007C4F81" w:rsidRDefault="007C4F81" w:rsidP="007C4F81">
      <w:pPr>
        <w:numPr>
          <w:ilvl w:val="0"/>
          <w:numId w:val="1"/>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seuls les adhérents de l'association sont admis à consommer.</w:t>
      </w:r>
    </w:p>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Il existe également une licence de cercle privé mais celle-ci ne concerne que les cercles privés régulièrement déclarés à la date du 1er janvier 1948. </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Si ces critères ne sont pas remplis, que l'association loi 1901 compte tenir une buvette ouverte au public dans ou hors d'une enceinte sportive, il lui faudra dans les deux cas obtenir une autorisation du maire de la commune. Celui-ci va apprécier si l'ouverture d'un débit </w:t>
      </w:r>
      <w:r w:rsidRPr="007C4F81">
        <w:rPr>
          <w:rFonts w:ascii="Times New Roman" w:eastAsia="Times New Roman" w:hAnsi="Times New Roman" w:cs="Times New Roman"/>
          <w:sz w:val="24"/>
          <w:szCs w:val="24"/>
        </w:rPr>
        <w:lastRenderedPageBreak/>
        <w:t xml:space="preserve">temporaire présente, ou non, un intérêt local. Par exemple, la présence d'un débit sédentaire à proximité de l'emplacement où se déroule la manifestation est de nature à justifier une décision de refus. </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En toute hypothèse, l'autorisation ne pourra porter que sur les boissons </w:t>
      </w:r>
      <w:proofErr w:type="gramStart"/>
      <w:r w:rsidRPr="007C4F81">
        <w:rPr>
          <w:rFonts w:ascii="Times New Roman" w:eastAsia="Times New Roman" w:hAnsi="Times New Roman" w:cs="Times New Roman"/>
          <w:sz w:val="24"/>
          <w:szCs w:val="24"/>
        </w:rPr>
        <w:t>des 1er et 2e groupe</w:t>
      </w:r>
      <w:proofErr w:type="gramEnd"/>
      <w:r w:rsidRPr="007C4F81">
        <w:rPr>
          <w:rFonts w:ascii="Times New Roman" w:eastAsia="Times New Roman" w:hAnsi="Times New Roman" w:cs="Times New Roman"/>
          <w:sz w:val="24"/>
          <w:szCs w:val="24"/>
        </w:rPr>
        <w:t xml:space="preserve">. Il n'est pas possible pour une association loi 1901, sauf si elle est reconnue d'utilité publique ou qu'elle intervient dans le cadre d'une foire ou d'une exposition organisée par l'Etat ou une collectivité territoriale, d'obtenir une autorisation incluant les 3e et 4e groupe. </w:t>
      </w:r>
    </w:p>
    <w:p w:rsidR="007C4F81" w:rsidRPr="007C4F81" w:rsidRDefault="007C4F81" w:rsidP="007C4F81">
      <w:pPr>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114550" cy="2019300"/>
            <wp:effectExtent l="0" t="0" r="0" b="0"/>
            <wp:docPr id="1" name="Image 1" descr="http://www.assistant-juridique.fr/images/image_buvette.png">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ssistant-juridique.fr/images/image_buvette.png">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4550" cy="2019300"/>
                    </a:xfrm>
                    <a:prstGeom prst="rect">
                      <a:avLst/>
                    </a:prstGeom>
                    <a:noFill/>
                    <a:ln>
                      <a:noFill/>
                    </a:ln>
                  </pic:spPr>
                </pic:pic>
              </a:graphicData>
            </a:graphic>
          </wp:inline>
        </w:drawing>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76"/>
        <w:gridCol w:w="1458"/>
        <w:gridCol w:w="1509"/>
        <w:gridCol w:w="1681"/>
        <w:gridCol w:w="1958"/>
        <w:gridCol w:w="1380"/>
      </w:tblGrid>
      <w:tr w:rsidR="007C4F81" w:rsidRPr="007C4F81" w:rsidTr="007C4F81">
        <w:trPr>
          <w:tblCellSpacing w:w="15" w:type="dxa"/>
        </w:trPr>
        <w:tc>
          <w:tcPr>
            <w:tcW w:w="0" w:type="auto"/>
            <w:gridSpan w:val="6"/>
            <w:tcBorders>
              <w:top w:val="nil"/>
              <w:left w:val="nil"/>
              <w:bottom w:val="nil"/>
              <w:right w:val="nil"/>
            </w:tcBorders>
            <w:vAlign w:val="center"/>
            <w:hideMark/>
          </w:tcPr>
          <w:p w:rsidR="007C4F81" w:rsidRPr="007C4F81" w:rsidRDefault="007C4F81" w:rsidP="007C4F81">
            <w:pPr>
              <w:jc w:val="cente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Les groupes de boisson</w:t>
            </w:r>
          </w:p>
        </w:tc>
      </w:tr>
      <w:tr w:rsidR="007C4F81" w:rsidRPr="007C4F81" w:rsidTr="007C4F81">
        <w:trPr>
          <w:tblCellSpacing w:w="15" w:type="dxa"/>
        </w:trPr>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p>
        </w:tc>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1er groupe</w:t>
            </w:r>
          </w:p>
        </w:tc>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2ème groupe</w:t>
            </w:r>
          </w:p>
        </w:tc>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3ème groupe</w:t>
            </w:r>
          </w:p>
        </w:tc>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4ème groupe</w:t>
            </w:r>
          </w:p>
        </w:tc>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5ème groupe</w:t>
            </w:r>
          </w:p>
        </w:tc>
      </w:tr>
      <w:tr w:rsidR="007C4F81" w:rsidRPr="007C4F81" w:rsidTr="007C4F81">
        <w:trPr>
          <w:tblCellSpacing w:w="15" w:type="dxa"/>
        </w:trPr>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Nature des boissons vendues</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boissons sans alcool : eaux minérales ou gazéifiées, jus de fruits ou légumes non fermentés, limonades, infusions, lait ; café, thé, chocolat...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boissons alcoolisées suivantes : vin, bière, cidre, poiré, hydromel, vins doux naturels, crèmes de cassis, jus de fruits ou de légumes fermentés.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Vins doux naturels autres que ceux appartenant au groupe 2, vins de liqueur, apéritifs à base de vin et liqueurs de fraises, framboises, cassis ou cerises, ne titrant pas plus de 18 degrés d'alcool pur.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Rhums, tafias, alcools provenant de la distillation des vins, cidres, poirés ou fruits, et ne supportant aucune addition d'essence ainsi que liqueurs édulcorées au moyen de sucre, de glucose ou de miel à raison de 400 grammes minimum par litre pour les liqueurs anisées et de 200 grammes minimum par litre pour les autres liqueurs et ne contenant pas plus d'un demi-gramme d'essence par litre.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Toutes les autres boissons alcoolisées.</w:t>
            </w:r>
          </w:p>
        </w:tc>
      </w:tr>
      <w:tr w:rsidR="007C4F81" w:rsidRPr="007C4F81" w:rsidTr="007C4F81">
        <w:trPr>
          <w:tblCellSpacing w:w="15" w:type="dxa"/>
        </w:trPr>
        <w:tc>
          <w:tcPr>
            <w:tcW w:w="0" w:type="auto"/>
            <w:vAlign w:val="center"/>
            <w:hideMark/>
          </w:tcPr>
          <w:p w:rsidR="007C4F81" w:rsidRPr="007C4F81" w:rsidRDefault="007C4F81" w:rsidP="007C4F81">
            <w:pPr>
              <w:jc w:val="center"/>
              <w:rPr>
                <w:rFonts w:ascii="Times New Roman" w:eastAsia="Times New Roman" w:hAnsi="Times New Roman" w:cs="Times New Roman"/>
                <w:b/>
                <w:bCs/>
                <w:sz w:val="24"/>
                <w:szCs w:val="24"/>
              </w:rPr>
            </w:pPr>
            <w:r w:rsidRPr="007C4F81">
              <w:rPr>
                <w:rFonts w:ascii="Times New Roman" w:eastAsia="Times New Roman" w:hAnsi="Times New Roman" w:cs="Times New Roman"/>
                <w:b/>
                <w:bCs/>
                <w:sz w:val="24"/>
                <w:szCs w:val="24"/>
              </w:rPr>
              <w:t xml:space="preserve">Catégorie de licence nécessaire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Licence 1ère catégorie (licence I) </w:t>
            </w:r>
            <w:r w:rsidRPr="007C4F81">
              <w:rPr>
                <w:rFonts w:ascii="Times New Roman" w:eastAsia="Times New Roman" w:hAnsi="Times New Roman" w:cs="Times New Roman"/>
                <w:sz w:val="24"/>
                <w:szCs w:val="24"/>
              </w:rPr>
              <w:lastRenderedPageBreak/>
              <w:t xml:space="preserve">dite " licence des boissons sans alcool ", relative au groupe 1.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Licence 2ème catégorie (licence II) </w:t>
            </w:r>
            <w:r w:rsidRPr="007C4F81">
              <w:rPr>
                <w:rFonts w:ascii="Times New Roman" w:eastAsia="Times New Roman" w:hAnsi="Times New Roman" w:cs="Times New Roman"/>
                <w:sz w:val="24"/>
                <w:szCs w:val="24"/>
              </w:rPr>
              <w:lastRenderedPageBreak/>
              <w:t xml:space="preserve">dite " licence de boissons comportant de 1,2 à 3 % d'alcool fermenté ", relative aux groupes 1 et 2 ".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Licence 3ème catégorie (licence III) dite </w:t>
            </w:r>
            <w:r w:rsidRPr="007C4F81">
              <w:rPr>
                <w:rFonts w:ascii="Times New Roman" w:eastAsia="Times New Roman" w:hAnsi="Times New Roman" w:cs="Times New Roman"/>
                <w:sz w:val="24"/>
                <w:szCs w:val="24"/>
              </w:rPr>
              <w:lastRenderedPageBreak/>
              <w:t xml:space="preserve">" licence restreinte ", relative aux groupes 1,2 et 3.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Licence 4ème catégorie (licence IV) dite " licence </w:t>
            </w:r>
            <w:r w:rsidRPr="007C4F81">
              <w:rPr>
                <w:rFonts w:ascii="Times New Roman" w:eastAsia="Times New Roman" w:hAnsi="Times New Roman" w:cs="Times New Roman"/>
                <w:sz w:val="24"/>
                <w:szCs w:val="24"/>
              </w:rPr>
              <w:lastRenderedPageBreak/>
              <w:t>restreinte ", relative aux groupes 1</w:t>
            </w:r>
            <w:proofErr w:type="gramStart"/>
            <w:r w:rsidRPr="007C4F81">
              <w:rPr>
                <w:rFonts w:ascii="Times New Roman" w:eastAsia="Times New Roman" w:hAnsi="Times New Roman" w:cs="Times New Roman"/>
                <w:sz w:val="24"/>
                <w:szCs w:val="24"/>
              </w:rPr>
              <w:t>,2,3</w:t>
            </w:r>
            <w:proofErr w:type="gramEnd"/>
            <w:r w:rsidRPr="007C4F81">
              <w:rPr>
                <w:rFonts w:ascii="Times New Roman" w:eastAsia="Times New Roman" w:hAnsi="Times New Roman" w:cs="Times New Roman"/>
                <w:sz w:val="24"/>
                <w:szCs w:val="24"/>
              </w:rPr>
              <w:t xml:space="preserve"> et 4. </w:t>
            </w:r>
          </w:p>
        </w:tc>
        <w:tc>
          <w:tcPr>
            <w:tcW w:w="0" w:type="auto"/>
            <w:vAlign w:val="center"/>
            <w:hideMark/>
          </w:tcPr>
          <w:p w:rsidR="007C4F81" w:rsidRPr="007C4F81" w:rsidRDefault="007C4F81" w:rsidP="007C4F81">
            <w:pPr>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Licence 4ème catégorie </w:t>
            </w:r>
            <w:r w:rsidRPr="007C4F81">
              <w:rPr>
                <w:rFonts w:ascii="Times New Roman" w:eastAsia="Times New Roman" w:hAnsi="Times New Roman" w:cs="Times New Roman"/>
                <w:sz w:val="24"/>
                <w:szCs w:val="24"/>
              </w:rPr>
              <w:lastRenderedPageBreak/>
              <w:t xml:space="preserve">(licence IV) dite "grande licence", relative aux 5 groupes. </w:t>
            </w:r>
          </w:p>
        </w:tc>
      </w:tr>
    </w:tbl>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Attention, les autorisations sont régies par des </w:t>
      </w:r>
      <w:proofErr w:type="spellStart"/>
      <w:r w:rsidRPr="007C4F81">
        <w:rPr>
          <w:rFonts w:ascii="Times New Roman" w:eastAsia="Times New Roman" w:hAnsi="Times New Roman" w:cs="Times New Roman"/>
          <w:sz w:val="24"/>
          <w:szCs w:val="24"/>
        </w:rPr>
        <w:t>arrêtes</w:t>
      </w:r>
      <w:proofErr w:type="spellEnd"/>
      <w:r w:rsidRPr="007C4F81">
        <w:rPr>
          <w:rFonts w:ascii="Times New Roman" w:eastAsia="Times New Roman" w:hAnsi="Times New Roman" w:cs="Times New Roman"/>
          <w:sz w:val="24"/>
          <w:szCs w:val="24"/>
        </w:rPr>
        <w:t xml:space="preserve"> municipaux annuels. Ceux-ci précisent les conditions de fonctionnement des buvettes, leurs horaires d'ouverture et les boissons qui peuvent y être vendues. </w:t>
      </w:r>
    </w:p>
    <w:p w:rsidR="007C4F81" w:rsidRPr="007C4F81" w:rsidRDefault="007C4F81" w:rsidP="007C4F81">
      <w:pPr>
        <w:spacing w:after="240"/>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1"/>
        <w:rPr>
          <w:rFonts w:ascii="Times New Roman" w:eastAsia="Times New Roman" w:hAnsi="Times New Roman" w:cs="Times New Roman"/>
          <w:b/>
          <w:bCs/>
          <w:sz w:val="36"/>
          <w:szCs w:val="36"/>
        </w:rPr>
      </w:pPr>
      <w:r w:rsidRPr="007C4F81">
        <w:rPr>
          <w:rFonts w:ascii="Times New Roman" w:eastAsia="Times New Roman" w:hAnsi="Times New Roman" w:cs="Times New Roman"/>
          <w:b/>
          <w:bCs/>
          <w:sz w:val="36"/>
          <w:szCs w:val="36"/>
        </w:rPr>
        <w:t>Ouverture d'une buvette dans une enceinte sportive par une association loi 1901</w:t>
      </w:r>
    </w:p>
    <w:p w:rsidR="007C4F81" w:rsidRPr="007C4F81" w:rsidRDefault="007C4F81" w:rsidP="007C4F81">
      <w:pPr>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2"/>
        <w:rPr>
          <w:rFonts w:ascii="Times New Roman" w:eastAsia="Times New Roman" w:hAnsi="Times New Roman" w:cs="Times New Roman"/>
          <w:b/>
          <w:bCs/>
          <w:sz w:val="27"/>
          <w:szCs w:val="27"/>
        </w:rPr>
      </w:pPr>
      <w:r w:rsidRPr="007C4F81">
        <w:rPr>
          <w:rFonts w:ascii="Times New Roman" w:eastAsia="Times New Roman" w:hAnsi="Times New Roman" w:cs="Times New Roman"/>
          <w:b/>
          <w:bCs/>
          <w:sz w:val="27"/>
          <w:szCs w:val="27"/>
        </w:rPr>
        <w:t>L'association loi 1901 désire ouvrir une buvette temporaire</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Il est possible de tenir une buvette temporaire, à condition d'obtenir une autorisation du maire de la commune. Cette autorisation ne concerne que les boissons ne titrant pas plus de 18° d'alcool pur (du 1er au 3e groupe).Elle ne peut être accordée que pour une durée maximale de 48h. Attention, l'introduction sans autorisation de boissons alcooliques dans une enceinte sportive est passible d'une amende de 7600€ et d'un an de prison. </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Le nombre d'autorisations peut être limité : </w:t>
      </w:r>
    </w:p>
    <w:p w:rsidR="007C4F81" w:rsidRPr="007C4F81" w:rsidRDefault="007C4F81" w:rsidP="007C4F81">
      <w:pPr>
        <w:numPr>
          <w:ilvl w:val="0"/>
          <w:numId w:val="2"/>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les associations sportives agréées peuvent en obtenir dix par an maximum. Si l'enceinte sportive est utilisée par plusieurs associations sportives agréées, chacune d'elles pourra bénéficier de dix autorisations par an. S'il s'agit d'une association omnisports, c'est le club lui-même qui percevra les autorisations et non chacune des sections. Ce sera à l'association de répartir les autorisations entre les différente sections, voire de se scinder en plusieurs associations ;</w:t>
      </w:r>
    </w:p>
    <w:p w:rsidR="007C4F81" w:rsidRPr="007C4F81" w:rsidRDefault="007C4F81" w:rsidP="007C4F81">
      <w:pPr>
        <w:numPr>
          <w:ilvl w:val="0"/>
          <w:numId w:val="2"/>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les associations organisant des manifestations à caractère agricole, deux </w:t>
      </w:r>
      <w:proofErr w:type="gramStart"/>
      <w:r w:rsidRPr="007C4F81">
        <w:rPr>
          <w:rFonts w:ascii="Times New Roman" w:eastAsia="Times New Roman" w:hAnsi="Times New Roman" w:cs="Times New Roman"/>
          <w:sz w:val="24"/>
          <w:szCs w:val="24"/>
        </w:rPr>
        <w:t>maximum</w:t>
      </w:r>
      <w:proofErr w:type="gramEnd"/>
      <w:r w:rsidRPr="007C4F81">
        <w:rPr>
          <w:rFonts w:ascii="Times New Roman" w:eastAsia="Times New Roman" w:hAnsi="Times New Roman" w:cs="Times New Roman"/>
          <w:sz w:val="24"/>
          <w:szCs w:val="24"/>
        </w:rPr>
        <w:t xml:space="preserve"> par commune et par an ;</w:t>
      </w:r>
    </w:p>
    <w:p w:rsidR="007C4F81" w:rsidRPr="007C4F81" w:rsidRDefault="007C4F81" w:rsidP="007C4F81">
      <w:pPr>
        <w:numPr>
          <w:ilvl w:val="0"/>
          <w:numId w:val="2"/>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les associations organisant des manifestations à caractère touristique au profit de stations classées et de communes touristiques, quatre </w:t>
      </w:r>
      <w:proofErr w:type="gramStart"/>
      <w:r w:rsidRPr="007C4F81">
        <w:rPr>
          <w:rFonts w:ascii="Times New Roman" w:eastAsia="Times New Roman" w:hAnsi="Times New Roman" w:cs="Times New Roman"/>
          <w:sz w:val="24"/>
          <w:szCs w:val="24"/>
        </w:rPr>
        <w:t>maximum</w:t>
      </w:r>
      <w:proofErr w:type="gramEnd"/>
      <w:r w:rsidRPr="007C4F81">
        <w:rPr>
          <w:rFonts w:ascii="Times New Roman" w:eastAsia="Times New Roman" w:hAnsi="Times New Roman" w:cs="Times New Roman"/>
          <w:sz w:val="24"/>
          <w:szCs w:val="24"/>
        </w:rPr>
        <w:t xml:space="preserve"> par an.</w:t>
      </w:r>
    </w:p>
    <w:p w:rsidR="007C4F81" w:rsidRPr="007C4F81" w:rsidRDefault="007C4F81" w:rsidP="007C4F81">
      <w:pPr>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2"/>
        <w:rPr>
          <w:rFonts w:ascii="Times New Roman" w:eastAsia="Times New Roman" w:hAnsi="Times New Roman" w:cs="Times New Roman"/>
          <w:b/>
          <w:bCs/>
          <w:sz w:val="27"/>
          <w:szCs w:val="27"/>
        </w:rPr>
      </w:pPr>
      <w:r w:rsidRPr="007C4F81">
        <w:rPr>
          <w:rFonts w:ascii="Times New Roman" w:eastAsia="Times New Roman" w:hAnsi="Times New Roman" w:cs="Times New Roman"/>
          <w:b/>
          <w:bCs/>
          <w:sz w:val="27"/>
          <w:szCs w:val="27"/>
        </w:rPr>
        <w:t>L'association loi 1901 désire ouvrir une buvette permanente</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Il est possible de tenir une buvette permanente, sans aucune autorisation, si l'association loi 1901 ne vend que des boissons appartenant à la </w:t>
      </w:r>
      <w:proofErr w:type="gramStart"/>
      <w:r w:rsidRPr="007C4F81">
        <w:rPr>
          <w:rFonts w:ascii="Times New Roman" w:eastAsia="Times New Roman" w:hAnsi="Times New Roman" w:cs="Times New Roman"/>
          <w:sz w:val="24"/>
          <w:szCs w:val="24"/>
        </w:rPr>
        <w:t>1er</w:t>
      </w:r>
      <w:proofErr w:type="gramEnd"/>
      <w:r w:rsidRPr="007C4F81">
        <w:rPr>
          <w:rFonts w:ascii="Times New Roman" w:eastAsia="Times New Roman" w:hAnsi="Times New Roman" w:cs="Times New Roman"/>
          <w:sz w:val="24"/>
          <w:szCs w:val="24"/>
        </w:rPr>
        <w:t xml:space="preserve"> catégorie (sans alcool). Il n'est pas </w:t>
      </w:r>
      <w:r w:rsidRPr="007C4F81">
        <w:rPr>
          <w:rFonts w:ascii="Times New Roman" w:eastAsia="Times New Roman" w:hAnsi="Times New Roman" w:cs="Times New Roman"/>
          <w:sz w:val="24"/>
          <w:szCs w:val="24"/>
        </w:rPr>
        <w:lastRenderedPageBreak/>
        <w:t xml:space="preserve">possible d'obtenir une autorisation pour vendre de manière permanente des boissons alcoolisées. Seule une autorisation temporaire pourra être accordée à certaines associations. </w:t>
      </w:r>
    </w:p>
    <w:p w:rsidR="007C4F81" w:rsidRPr="007C4F81" w:rsidRDefault="007C4F81" w:rsidP="007C4F81">
      <w:pPr>
        <w:spacing w:after="240"/>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1"/>
        <w:rPr>
          <w:rFonts w:ascii="Times New Roman" w:eastAsia="Times New Roman" w:hAnsi="Times New Roman" w:cs="Times New Roman"/>
          <w:b/>
          <w:bCs/>
          <w:sz w:val="36"/>
          <w:szCs w:val="36"/>
        </w:rPr>
      </w:pPr>
      <w:r w:rsidRPr="007C4F81">
        <w:rPr>
          <w:rFonts w:ascii="Times New Roman" w:eastAsia="Times New Roman" w:hAnsi="Times New Roman" w:cs="Times New Roman"/>
          <w:b/>
          <w:bCs/>
          <w:sz w:val="36"/>
          <w:szCs w:val="36"/>
        </w:rPr>
        <w:t>Ouverture d'une buvette hors d'une enceinte sportive par une association loi 1901</w:t>
      </w:r>
    </w:p>
    <w:p w:rsidR="007C4F81" w:rsidRPr="007C4F81" w:rsidRDefault="007C4F81" w:rsidP="007C4F81">
      <w:pPr>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2"/>
        <w:rPr>
          <w:rFonts w:ascii="Times New Roman" w:eastAsia="Times New Roman" w:hAnsi="Times New Roman" w:cs="Times New Roman"/>
          <w:b/>
          <w:bCs/>
          <w:sz w:val="27"/>
          <w:szCs w:val="27"/>
        </w:rPr>
      </w:pPr>
      <w:r w:rsidRPr="007C4F81">
        <w:rPr>
          <w:rFonts w:ascii="Times New Roman" w:eastAsia="Times New Roman" w:hAnsi="Times New Roman" w:cs="Times New Roman"/>
          <w:b/>
          <w:bCs/>
          <w:sz w:val="27"/>
          <w:szCs w:val="27"/>
        </w:rPr>
        <w:t>L'association loi 1901 désire ouvrir une buvette temporaire</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La demande d'autorisation devra être demandée à l'avance, suivant un délai qui diffère selon les communes. L'autorisation n'est accordée que si l'association satisfait aux critères suivants : </w:t>
      </w:r>
    </w:p>
    <w:p w:rsidR="007C4F81" w:rsidRPr="007C4F81" w:rsidRDefault="007C4F81" w:rsidP="007C4F81">
      <w:pPr>
        <w:numPr>
          <w:ilvl w:val="0"/>
          <w:numId w:val="3"/>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elle est installée en dehors d'une zone dite " protégée " : proximité d'édifices religieux, de cimetières, d'établissements de soins, de piscines, d'établissements scolaires, de terrains de sport… ;</w:t>
      </w:r>
    </w:p>
    <w:p w:rsidR="007C4F81" w:rsidRPr="007C4F81" w:rsidRDefault="007C4F81" w:rsidP="007C4F81">
      <w:pPr>
        <w:numPr>
          <w:ilvl w:val="0"/>
          <w:numId w:val="3"/>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elle ne compte vendre que des boissons du 1er et du 2e groupe ;</w:t>
      </w:r>
    </w:p>
    <w:p w:rsidR="007C4F81" w:rsidRPr="007C4F81" w:rsidRDefault="007C4F81" w:rsidP="007C4F81">
      <w:pPr>
        <w:rPr>
          <w:rFonts w:ascii="Times New Roman" w:eastAsia="Times New Roman" w:hAnsi="Times New Roman" w:cs="Times New Roman"/>
          <w:sz w:val="24"/>
          <w:szCs w:val="24"/>
        </w:rPr>
      </w:pPr>
      <w:proofErr w:type="gramStart"/>
      <w:r w:rsidRPr="007C4F81">
        <w:rPr>
          <w:rFonts w:ascii="Times New Roman" w:eastAsia="Times New Roman" w:hAnsi="Times New Roman" w:cs="Times New Roman"/>
          <w:sz w:val="24"/>
          <w:szCs w:val="24"/>
        </w:rPr>
        <w:t>si</w:t>
      </w:r>
      <w:proofErr w:type="gramEnd"/>
      <w:r w:rsidRPr="007C4F81">
        <w:rPr>
          <w:rFonts w:ascii="Times New Roman" w:eastAsia="Times New Roman" w:hAnsi="Times New Roman" w:cs="Times New Roman"/>
          <w:sz w:val="24"/>
          <w:szCs w:val="24"/>
        </w:rPr>
        <w:t xml:space="preserve"> la buvette est tenue dans le cadre d'une manifestation organisée par l'association, le Code de la santé publique limite à cinq le nombre d'autorisations annuelles par association. Si la buvette a lieu dans le cadre d'une foire, d'une vente ou d'une fête publique qui n'est pas organisée par l'association, le nombre d'autorisations annuelles que le maire peut lui accorder est illimité. </w:t>
      </w:r>
      <w:r w:rsidRPr="007C4F81">
        <w:rPr>
          <w:rFonts w:ascii="Times New Roman" w:eastAsia="Times New Roman" w:hAnsi="Times New Roman" w:cs="Times New Roman"/>
          <w:sz w:val="24"/>
          <w:szCs w:val="24"/>
        </w:rPr>
        <w:br/>
        <w:t xml:space="preserve">Attention, l'offre ou la vente de boissons autres que celles du 1er et du 2e groupe pourra être puni d'une amende de 3800€. </w:t>
      </w:r>
    </w:p>
    <w:p w:rsidR="007C4F81" w:rsidRPr="007C4F81" w:rsidRDefault="007C4F81" w:rsidP="007C4F81">
      <w:pPr>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2"/>
        <w:rPr>
          <w:rFonts w:ascii="Times New Roman" w:eastAsia="Times New Roman" w:hAnsi="Times New Roman" w:cs="Times New Roman"/>
          <w:b/>
          <w:bCs/>
          <w:sz w:val="27"/>
          <w:szCs w:val="27"/>
        </w:rPr>
      </w:pPr>
      <w:r w:rsidRPr="007C4F81">
        <w:rPr>
          <w:rFonts w:ascii="Times New Roman" w:eastAsia="Times New Roman" w:hAnsi="Times New Roman" w:cs="Times New Roman"/>
          <w:b/>
          <w:bCs/>
          <w:sz w:val="27"/>
          <w:szCs w:val="27"/>
        </w:rPr>
        <w:t>L'association loi 1901 désire ouvrir une buvette permanente</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L'association peut ouvrir à titre permanent une buvette avec une licence de 2e et 3e catégorie si elle respecte les conditions suivantes : </w:t>
      </w:r>
    </w:p>
    <w:p w:rsidR="007C4F81" w:rsidRPr="007C4F81" w:rsidRDefault="007C4F81" w:rsidP="007C4F81">
      <w:pPr>
        <w:numPr>
          <w:ilvl w:val="0"/>
          <w:numId w:val="4"/>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la buvette ne se situe pas à proximité d'un établissement protégé (établissement scolaire, de formation, de santé, maison de retraite, d'un stade…);</w:t>
      </w:r>
    </w:p>
    <w:p w:rsidR="007C4F81" w:rsidRPr="007C4F81" w:rsidRDefault="007C4F81" w:rsidP="007C4F81">
      <w:pPr>
        <w:numPr>
          <w:ilvl w:val="0"/>
          <w:numId w:val="4"/>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il ne doit pas y avoir plus d'un débit de boissons pour 450 habitants dans la commune ;</w:t>
      </w:r>
    </w:p>
    <w:p w:rsidR="007C4F81" w:rsidRPr="007C4F81" w:rsidRDefault="007C4F81" w:rsidP="007C4F81">
      <w:pPr>
        <w:numPr>
          <w:ilvl w:val="0"/>
          <w:numId w:val="4"/>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l'exploitant du débit de boisson est titulaire d'un " permis d'exploitation ", délivré à l'issu une formation spécifique à la réglementation des débits de boissons. Ce permis d'exploitation est valable 10 ans et est délivré par la préfecture. Il peut être renouvelé pour la même durée suite à une formation de mise à jour d'une durée de 6 heures au minimum.</w:t>
      </w:r>
    </w:p>
    <w:p w:rsidR="007C4F81" w:rsidRPr="007C4F81" w:rsidRDefault="007C4F81" w:rsidP="007C4F81">
      <w:pPr>
        <w:spacing w:after="240"/>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1"/>
        <w:rPr>
          <w:rFonts w:ascii="Times New Roman" w:eastAsia="Times New Roman" w:hAnsi="Times New Roman" w:cs="Times New Roman"/>
          <w:b/>
          <w:bCs/>
          <w:sz w:val="36"/>
          <w:szCs w:val="36"/>
        </w:rPr>
      </w:pPr>
      <w:r w:rsidRPr="007C4F81">
        <w:rPr>
          <w:rFonts w:ascii="Times New Roman" w:eastAsia="Times New Roman" w:hAnsi="Times New Roman" w:cs="Times New Roman"/>
          <w:b/>
          <w:bCs/>
          <w:sz w:val="36"/>
          <w:szCs w:val="36"/>
        </w:rPr>
        <w:t>L'association loi 1901 doit-elle déclarer la buvette ?</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lastRenderedPageBreak/>
        <w:t xml:space="preserve">Une fois l'autorisation du maire de la commune obtenue, il est possible que l'association loi 1901 doive déclarer la buvette à l'administration. Cette déclaration se fait en remplissant une simple fiche de renseignements. Toutefois, les associations sont en principe dispensées de déclarer l'ouverture d'une buvette à la recette des douanes et droits indirects sauf : </w:t>
      </w:r>
    </w:p>
    <w:p w:rsidR="007C4F81" w:rsidRPr="007C4F81" w:rsidRDefault="007C4F81" w:rsidP="007C4F81">
      <w:pPr>
        <w:numPr>
          <w:ilvl w:val="0"/>
          <w:numId w:val="5"/>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les associations ouvrant une buvette permanente ;</w:t>
      </w:r>
    </w:p>
    <w:p w:rsidR="007C4F81" w:rsidRPr="007C4F81" w:rsidRDefault="007C4F81" w:rsidP="007C4F81">
      <w:pPr>
        <w:numPr>
          <w:ilvl w:val="0"/>
          <w:numId w:val="5"/>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les buvettes sportives vendant des boissons du 3e groupe, seulement si l'autorisation municipale le spécifie.</w:t>
      </w:r>
    </w:p>
    <w:p w:rsidR="007C4F81" w:rsidRPr="007C4F81" w:rsidRDefault="007C4F81" w:rsidP="007C4F81">
      <w:pPr>
        <w:spacing w:after="240"/>
        <w:rPr>
          <w:rFonts w:ascii="Times New Roman" w:eastAsia="Times New Roman" w:hAnsi="Times New Roman" w:cs="Times New Roman"/>
          <w:sz w:val="24"/>
          <w:szCs w:val="24"/>
        </w:rPr>
      </w:pPr>
    </w:p>
    <w:p w:rsidR="007C4F81" w:rsidRPr="007C4F81" w:rsidRDefault="007C4F81" w:rsidP="007C4F81">
      <w:pPr>
        <w:spacing w:before="100" w:beforeAutospacing="1" w:after="100" w:afterAutospacing="1"/>
        <w:outlineLvl w:val="1"/>
        <w:rPr>
          <w:rFonts w:ascii="Times New Roman" w:eastAsia="Times New Roman" w:hAnsi="Times New Roman" w:cs="Times New Roman"/>
          <w:b/>
          <w:bCs/>
          <w:sz w:val="36"/>
          <w:szCs w:val="36"/>
        </w:rPr>
      </w:pPr>
      <w:r w:rsidRPr="007C4F81">
        <w:rPr>
          <w:rFonts w:ascii="Times New Roman" w:eastAsia="Times New Roman" w:hAnsi="Times New Roman" w:cs="Times New Roman"/>
          <w:b/>
          <w:bCs/>
          <w:sz w:val="36"/>
          <w:szCs w:val="36"/>
        </w:rPr>
        <w:t>Responsabilité de l'association</w:t>
      </w:r>
    </w:p>
    <w:p w:rsidR="007C4F81" w:rsidRPr="007C4F81" w:rsidRDefault="007C4F81" w:rsidP="007C4F81">
      <w:p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Le président de l'association loi 1901 sera pénalement responsable si : </w:t>
      </w:r>
    </w:p>
    <w:p w:rsidR="007C4F81" w:rsidRPr="007C4F81" w:rsidRDefault="007C4F81" w:rsidP="007C4F81">
      <w:pPr>
        <w:numPr>
          <w:ilvl w:val="0"/>
          <w:numId w:val="6"/>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de l'alcool est introduit dans une enceinte sportive ou dans une fête associative sans licence ;</w:t>
      </w:r>
    </w:p>
    <w:p w:rsidR="007C4F81" w:rsidRPr="007C4F81" w:rsidRDefault="007C4F81" w:rsidP="007C4F81">
      <w:pPr>
        <w:numPr>
          <w:ilvl w:val="0"/>
          <w:numId w:val="6"/>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il laisse entrer une personne ivre dans le lieu de la manifestation ;</w:t>
      </w:r>
    </w:p>
    <w:p w:rsidR="007C4F81" w:rsidRPr="007C4F81" w:rsidRDefault="007C4F81" w:rsidP="007C4F81">
      <w:pPr>
        <w:numPr>
          <w:ilvl w:val="0"/>
          <w:numId w:val="6"/>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de l'alcool est servi à un mineur. La fourniture de boissons alcooliques aux enfants et aux jeunes de moins de 18 ans, même accompagnés, est, en outre, interdite. Un jeune âgé de 16 ou 17 ans peut donc fréquenter seul le bar ou la buvette mais sans consommer d'alcool ;</w:t>
      </w:r>
    </w:p>
    <w:p w:rsidR="007C4F81" w:rsidRPr="007C4F81" w:rsidRDefault="007C4F81" w:rsidP="007C4F81">
      <w:pPr>
        <w:numPr>
          <w:ilvl w:val="0"/>
          <w:numId w:val="6"/>
        </w:numPr>
        <w:spacing w:before="100" w:beforeAutospacing="1" w:after="100" w:afterAutospacing="1"/>
        <w:rPr>
          <w:rFonts w:ascii="Times New Roman" w:eastAsia="Times New Roman" w:hAnsi="Times New Roman" w:cs="Times New Roman"/>
          <w:sz w:val="24"/>
          <w:szCs w:val="24"/>
        </w:rPr>
      </w:pPr>
      <w:r w:rsidRPr="007C4F81">
        <w:rPr>
          <w:rFonts w:ascii="Times New Roman" w:eastAsia="Times New Roman" w:hAnsi="Times New Roman" w:cs="Times New Roman"/>
          <w:sz w:val="24"/>
          <w:szCs w:val="24"/>
        </w:rPr>
        <w:t xml:space="preserve">les heures de fermeture et les périmètres de protection à l'intérieur desquels ne peuvent être vendus des boissons </w:t>
      </w:r>
      <w:proofErr w:type="spellStart"/>
      <w:r w:rsidRPr="007C4F81">
        <w:rPr>
          <w:rFonts w:ascii="Times New Roman" w:eastAsia="Times New Roman" w:hAnsi="Times New Roman" w:cs="Times New Roman"/>
          <w:sz w:val="24"/>
          <w:szCs w:val="24"/>
        </w:rPr>
        <w:t>alccolisées</w:t>
      </w:r>
      <w:proofErr w:type="spellEnd"/>
      <w:r w:rsidRPr="007C4F81">
        <w:rPr>
          <w:rFonts w:ascii="Times New Roman" w:eastAsia="Times New Roman" w:hAnsi="Times New Roman" w:cs="Times New Roman"/>
          <w:sz w:val="24"/>
          <w:szCs w:val="24"/>
        </w:rPr>
        <w:t xml:space="preserve"> n'ont pas été respectés.</w:t>
      </w:r>
    </w:p>
    <w:p w:rsidR="007C4F81" w:rsidRDefault="007C4F81" w:rsidP="007C4F81">
      <w:r w:rsidRPr="007C4F81">
        <w:rPr>
          <w:rFonts w:ascii="Times New Roman" w:eastAsia="Times New Roman" w:hAnsi="Times New Roman" w:cs="Times New Roman"/>
          <w:sz w:val="24"/>
          <w:szCs w:val="24"/>
        </w:rPr>
        <w:t>L'amende encourue peut aller, suivant l'infraction, jusqu'à 3800 € voire 7600 €.</w:t>
      </w:r>
      <w:bookmarkStart w:id="0" w:name="_GoBack"/>
      <w:bookmarkEnd w:id="0"/>
    </w:p>
    <w:sectPr w:rsidR="007C4F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42A79"/>
    <w:multiLevelType w:val="multilevel"/>
    <w:tmpl w:val="3434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B2574"/>
    <w:multiLevelType w:val="multilevel"/>
    <w:tmpl w:val="01FC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F70B24"/>
    <w:multiLevelType w:val="multilevel"/>
    <w:tmpl w:val="127E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C96D83"/>
    <w:multiLevelType w:val="multilevel"/>
    <w:tmpl w:val="23E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B5731B"/>
    <w:multiLevelType w:val="multilevel"/>
    <w:tmpl w:val="3BB0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571539"/>
    <w:multiLevelType w:val="multilevel"/>
    <w:tmpl w:val="A788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EF1"/>
    <w:rsid w:val="000356BB"/>
    <w:rsid w:val="000E189B"/>
    <w:rsid w:val="001C05BE"/>
    <w:rsid w:val="00352EF1"/>
    <w:rsid w:val="007C4F81"/>
    <w:rsid w:val="009E748F"/>
    <w:rsid w:val="00B30E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character" w:customStyle="1" w:styleId="tpnews">
    <w:name w:val="tpnews"/>
    <w:basedOn w:val="Policepardfaut"/>
    <w:rsid w:val="00B30EEB"/>
  </w:style>
  <w:style w:type="character" w:styleId="lev">
    <w:name w:val="Strong"/>
    <w:basedOn w:val="Policepardfaut"/>
    <w:uiPriority w:val="22"/>
    <w:qFormat/>
    <w:rsid w:val="00B30EEB"/>
    <w:rPr>
      <w:b/>
      <w:bCs/>
    </w:rPr>
  </w:style>
  <w:style w:type="character" w:styleId="Lienhypertexte">
    <w:name w:val="Hyperlink"/>
    <w:basedOn w:val="Policepardfaut"/>
    <w:uiPriority w:val="99"/>
    <w:semiHidden/>
    <w:unhideWhenUsed/>
    <w:rsid w:val="00B30EEB"/>
    <w:rPr>
      <w:color w:val="0000FF"/>
      <w:u w:val="single"/>
    </w:rPr>
  </w:style>
  <w:style w:type="paragraph" w:customStyle="1" w:styleId="introduction">
    <w:name w:val="introduction"/>
    <w:basedOn w:val="Normal"/>
    <w:rsid w:val="007C4F81"/>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C4F81"/>
    <w:pPr>
      <w:spacing w:before="100" w:beforeAutospacing="1" w:after="100" w:afterAutospacing="1"/>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C4F81"/>
    <w:rPr>
      <w:rFonts w:ascii="Tahoma" w:hAnsi="Tahoma" w:cs="Tahoma"/>
      <w:sz w:val="16"/>
      <w:szCs w:val="16"/>
    </w:rPr>
  </w:style>
  <w:style w:type="character" w:customStyle="1" w:styleId="TextedebullesCar">
    <w:name w:val="Texte de bulles Car"/>
    <w:basedOn w:val="Policepardfaut"/>
    <w:link w:val="Textedebulles"/>
    <w:uiPriority w:val="99"/>
    <w:semiHidden/>
    <w:rsid w:val="007C4F81"/>
    <w:rPr>
      <w:rFonts w:ascii="Tahom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character" w:customStyle="1" w:styleId="tpnews">
    <w:name w:val="tpnews"/>
    <w:basedOn w:val="Policepardfaut"/>
    <w:rsid w:val="00B30EEB"/>
  </w:style>
  <w:style w:type="character" w:styleId="lev">
    <w:name w:val="Strong"/>
    <w:basedOn w:val="Policepardfaut"/>
    <w:uiPriority w:val="22"/>
    <w:qFormat/>
    <w:rsid w:val="00B30EEB"/>
    <w:rPr>
      <w:b/>
      <w:bCs/>
    </w:rPr>
  </w:style>
  <w:style w:type="character" w:styleId="Lienhypertexte">
    <w:name w:val="Hyperlink"/>
    <w:basedOn w:val="Policepardfaut"/>
    <w:uiPriority w:val="99"/>
    <w:semiHidden/>
    <w:unhideWhenUsed/>
    <w:rsid w:val="00B30EEB"/>
    <w:rPr>
      <w:color w:val="0000FF"/>
      <w:u w:val="single"/>
    </w:rPr>
  </w:style>
  <w:style w:type="paragraph" w:customStyle="1" w:styleId="introduction">
    <w:name w:val="introduction"/>
    <w:basedOn w:val="Normal"/>
    <w:rsid w:val="007C4F81"/>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C4F81"/>
    <w:pPr>
      <w:spacing w:before="100" w:beforeAutospacing="1" w:after="100" w:afterAutospacing="1"/>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C4F81"/>
    <w:rPr>
      <w:rFonts w:ascii="Tahoma" w:hAnsi="Tahoma" w:cs="Tahoma"/>
      <w:sz w:val="16"/>
      <w:szCs w:val="16"/>
    </w:rPr>
  </w:style>
  <w:style w:type="character" w:customStyle="1" w:styleId="TextedebullesCar">
    <w:name w:val="Texte de bulles Car"/>
    <w:basedOn w:val="Policepardfaut"/>
    <w:link w:val="Textedebulles"/>
    <w:uiPriority w:val="99"/>
    <w:semiHidden/>
    <w:rsid w:val="007C4F81"/>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cidTexte=LEGITEXT000006072665&amp;idArticle=LEGIARTI000006688053&amp;dateTexte=2012061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legifrance.gouv.fr/affichCodeArticle.do;jsessionid=F824876E87D7DF5C335EBB61A20423BF.tpdjo13v_1?cidTexte=LEGITEXT000006072665&amp;idArticle=LEGIARTI000006688028&amp;dateTexte=&amp;categorieLien=ci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france.gouv.fr/affichCodeArticle.do?idArticle=LEGIARTI000006688056&amp;cidTexte=LEGITEXT000006072665" TargetMode="Externa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assistant-juridique.fr/buvette_guide.jsp" TargetMode="External"/><Relationship Id="rId4" Type="http://schemas.openxmlformats.org/officeDocument/2006/relationships/settings" Target="settings.xml"/><Relationship Id="rId9" Type="http://schemas.openxmlformats.org/officeDocument/2006/relationships/hyperlink" Target="http://www.legifrance.gouv.fr/affichCodeArticle.do?idArticle=LEGIARTI000006687994&amp;cidTexte=LEGITEXT00000607266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Pages>
  <Words>2266</Words>
  <Characters>12466</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Portable</dc:creator>
  <cp:keywords/>
  <dc:description/>
  <cp:lastModifiedBy>Anthony Portable</cp:lastModifiedBy>
  <cp:revision>5</cp:revision>
  <dcterms:created xsi:type="dcterms:W3CDTF">2014-12-08T09:04:00Z</dcterms:created>
  <dcterms:modified xsi:type="dcterms:W3CDTF">2014-12-08T16:27:00Z</dcterms:modified>
</cp:coreProperties>
</file>